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Third-Party Risk Assessment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Assessor: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Sub-Processor List (`SUBPROCESSOR_LIST.md`)</w:t>
      </w:r>
    </w:p>
    <w:p>
      <w:pPr>
        <w:pStyle w:val="ListParagraph"/>
        <w:numPr>
          <w:ilvl w:val="0"/>
          <w:numId w:val="1"/>
        </w:numPr>
      </w:pPr>
      <w:r>
        <w:t xml:space="preserve">Vendor Contacts Directory (`VENDOR_CONTACTS.md`)</w:t>
      </w:r>
    </w:p>
    <w:p>
      <w:pPr>
        <w:pStyle w:val="ListParagraph"/>
        <w:numPr>
          <w:ilvl w:val="0"/>
          <w:numId w:val="1"/>
        </w:numPr>
      </w:pPr>
      <w:r>
        <w:t xml:space="preserve">Vendor Security Questionnaire (`VENDOR_SECURITY_QUESTIONNAIRE.md`)</w:t>
      </w:r>
    </w:p>
    <w:p>
      <w:pPr>
        <w:pStyle w:val="ListParagraph"/>
        <w:numPr>
          <w:ilvl w:val="0"/>
          <w:numId w:val="1"/>
        </w:numPr>
      </w:pPr>
      <w:r>
        <w:t xml:space="preserve">Risk Register (`RISK_REGISTER.md`)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document provides a risk assessment of all third-party services integrated into the nextjs-saas-example application. Each vendor has been evaluated for data sensitivity, geographic risk, compliance certifications, data processing scope, and risk mitigation measures.</w:t>
      </w:r>
    </w:p>
    <w:p>
      <w:r>
        <w:t xml:space="preserve">Total third-party vendors assessed: 7</w:t>
      </w:r>
    </w:p>
    <w:p>
      <w:r>
        <w:t xml:space="preserve">For questions about this assessment, contact legal@acme.com.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Risk Matrix</w:t>
      </w:r>
    </w:p>
    <w:p>
      <w:r>
        <w:rPr>
          <w:sz w:val="20"/>
        </w:rPr>
        <w:t xml:space="preserve">Vendor  |  Category  |  Data Sensitivity  |  Geographic Risk  |  Certifications  |  Overall Risk</w:t>
      </w:r>
    </w:p>
    <w:p>
      <w:r>
        <w:rPr>
          <w:sz w:val="20"/>
        </w:rPr>
        <w:t xml:space="preserve">Sentry  |  monitoring  |  low  |  US  |  SOC 2 Type II, ISO 27001, GDPR  |  Low</w:t>
      </w:r>
    </w:p>
    <w:p>
      <w:r>
        <w:rPr>
          <w:sz w:val="20"/>
        </w:rPr>
        <w:t xml:space="preserve">Supabase  |  auth  |  high  |  Other  |  SOC 2 Type II, ISO 27001, GDPR  |  Critical</w:t>
      </w:r>
    </w:p>
    <w:p>
      <w:r>
        <w:rPr>
          <w:sz w:val="20"/>
        </w:rPr>
        <w:t xml:space="preserve">OpenAI  |  ai  |  high  |  US  |  SOC 2 Type II, GDPR  |  Critical</w:t>
      </w:r>
    </w:p>
    <w:p>
      <w:r>
        <w:rPr>
          <w:sz w:val="20"/>
        </w:rPr>
        <w:t xml:space="preserve">PostHog  |  analytics  |  medium  |  US  |  SOC 2 Type II, GDPR  |  High</w:t>
      </w:r>
    </w:p>
    <w:p>
      <w:r>
        <w:rPr>
          <w:sz w:val="20"/>
        </w:rPr>
        <w:t xml:space="preserve">Resend  |  email  |  medium  |  US  |  SOC 2 Type II, GDPR  |  High</w:t>
      </w:r>
    </w:p>
    <w:p>
      <w:r>
        <w:rPr>
          <w:sz w:val="20"/>
        </w:rPr>
        <w:t xml:space="preserve">Stripe  |  payment  |  high  |  US  |  PCI DSS Level 1, SOC 2 Type II, ISO 27001, GDPR  |  High</w:t>
      </w:r>
    </w:p>
    <w:p>
      <w:r>
        <w:rPr>
          <w:sz w:val="20"/>
        </w:rPr>
        <w:t xml:space="preserve">stripe-ios  |  payment  |  high  |  Other  |  None verified  |  Critical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Detailed Vendor Assessments</w:t>
      </w:r>
    </w:p>
    <w:p>
      <w:pPr>
        <w:pStyle w:val="Heading3"/>
      </w:pPr>
      <w:r>
        <w:t>Sentry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monitoring</w:t>
      </w:r>
    </w:p>
    <w:p>
      <w:r>
        <w:rPr>
          <w:sz w:val="20"/>
        </w:rPr>
        <w:t xml:space="preserve">**Data Processed**  |  error data, stack traces, user context, device information, IP address</w:t>
      </w:r>
    </w:p>
    <w:p>
      <w:r>
        <w:rPr>
          <w:sz w:val="20"/>
        </w:rPr>
        <w:t xml:space="preserve">**Data Sensitivity**  |  low</w:t>
      </w:r>
    </w:p>
    <w:p>
      <w:r>
        <w:rPr>
          <w:sz w:val="20"/>
        </w:rPr>
        <w:t xml:space="preserve">**Geographic Location**  |  US</w:t>
      </w:r>
    </w:p>
    <w:p>
      <w:r>
        <w:rPr>
          <w:sz w:val="20"/>
        </w:rPr>
        <w:t xml:space="preserve">**Geographic Risk**  |  Medium — EU-US Data Privacy Framework applicable</w:t>
      </w:r>
    </w:p>
    <w:p>
      <w:r>
        <w:rPr>
          <w:sz w:val="20"/>
        </w:rPr>
        <w:t xml:space="preserve">**Certifications**  |  SOC 2 Type II, ISO 27001, GDPR</w:t>
      </w:r>
    </w:p>
    <w:p>
      <w:r>
        <w:rPr>
          <w:sz w:val="20"/>
        </w:rPr>
        <w:t xml:space="preserve">**Processing Scope**  |  Error logs, stack traces, performance metrics</w:t>
      </w:r>
    </w:p>
    <w:p>
      <w:r>
        <w:rPr>
          <w:sz w:val="20"/>
        </w:rPr>
        <w:t xml:space="preserve">**Overall Risk Level**  |  Low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PII scrubbing in error reports</w:t>
      </w:r>
    </w:p>
    <w:p>
      <w:pPr>
        <w:pStyle w:val="ListParagraph"/>
        <w:numPr>
          <w:ilvl w:val="0"/>
          <w:numId w:val="1"/>
        </w:numPr>
      </w:pPr>
      <w:r>
        <w:t xml:space="preserve">Short retention periods for logs</w:t>
      </w:r>
    </w:p>
    <w:p>
      <w:pPr>
        <w:pStyle w:val="ListParagraph"/>
        <w:numPr>
          <w:ilvl w:val="0"/>
          <w:numId w:val="1"/>
        </w:numPr>
      </w:pPr>
      <w:r>
        <w:t xml:space="preserve">Access restricted to engineering team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Heading3"/>
      </w:pPr>
      <w:r>
        <w:t>Supabase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auth</w:t>
      </w:r>
    </w:p>
    <w:p>
      <w:r>
        <w:rPr>
          <w:sz w:val="20"/>
        </w:rPr>
        <w:t xml:space="preserve">**Data Processed**  |  email, password hash, session data, user metadata</w:t>
      </w:r>
    </w:p>
    <w:p>
      <w:r>
        <w:rPr>
          <w:sz w:val="20"/>
        </w:rPr>
        <w:t xml:space="preserve">**Data Sensitivity**  |  high</w:t>
      </w:r>
    </w:p>
    <w:p>
      <w:r>
        <w:rPr>
          <w:sz w:val="20"/>
        </w:rPr>
        <w:t xml:space="preserve">**Geographic Location**  |  Other</w:t>
      </w:r>
    </w:p>
    <w:p>
      <w:r>
        <w:rPr>
          <w:sz w:val="20"/>
        </w:rPr>
        <w:t xml:space="preserve">**Geographic Risk**  |  High — verify adequacy decision or implement SCCs</w:t>
      </w:r>
    </w:p>
    <w:p>
      <w:r>
        <w:rPr>
          <w:sz w:val="20"/>
        </w:rPr>
        <w:t xml:space="preserve">**Certifications**  |  SOC 2 Type II, ISO 27001, GDPR</w:t>
      </w:r>
    </w:p>
    <w:p>
      <w:r>
        <w:rPr>
          <w:sz w:val="20"/>
        </w:rPr>
        <w:t xml:space="preserve">**Processing Scope**  |  Identity verification, session management, credential storage</w:t>
      </w:r>
    </w:p>
    <w:p>
      <w:r>
        <w:rPr>
          <w:sz w:val="20"/>
        </w:rPr>
        <w:t xml:space="preserve">**Overall Risk Level**  |  Critical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Industry-standard authentication protocols (OAuth 2.0, OIDC)</w:t>
      </w:r>
    </w:p>
    <w:p>
      <w:pPr>
        <w:pStyle w:val="ListParagraph"/>
        <w:numPr>
          <w:ilvl w:val="0"/>
          <w:numId w:val="1"/>
        </w:numPr>
      </w:pPr>
      <w:r>
        <w:t xml:space="preserve">Passwords never stored in plaintext</w:t>
      </w:r>
    </w:p>
    <w:p>
      <w:pPr>
        <w:pStyle w:val="ListParagraph"/>
        <w:numPr>
          <w:ilvl w:val="0"/>
          <w:numId w:val="1"/>
        </w:numPr>
      </w:pPr>
      <w:r>
        <w:t xml:space="preserve">Session tokens rotated regularly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Heading3"/>
      </w:pPr>
      <w:r>
        <w:t>OpenAI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ai</w:t>
      </w:r>
    </w:p>
    <w:p>
      <w:r>
        <w:rPr>
          <w:sz w:val="20"/>
        </w:rPr>
        <w:t xml:space="preserve">**Data Processed**  |  user prompts, conversation history, generated content</w:t>
      </w:r>
    </w:p>
    <w:p>
      <w:r>
        <w:rPr>
          <w:sz w:val="20"/>
        </w:rPr>
        <w:t xml:space="preserve">**Data Sensitivity**  |  high</w:t>
      </w:r>
    </w:p>
    <w:p>
      <w:r>
        <w:rPr>
          <w:sz w:val="20"/>
        </w:rPr>
        <w:t xml:space="preserve">**Geographic Location**  |  US</w:t>
      </w:r>
    </w:p>
    <w:p>
      <w:r>
        <w:rPr>
          <w:sz w:val="20"/>
        </w:rPr>
        <w:t xml:space="preserve">**Geographic Risk**  |  Medium — EU-US Data Privacy Framework applicable</w:t>
      </w:r>
    </w:p>
    <w:p>
      <w:r>
        <w:rPr>
          <w:sz w:val="20"/>
        </w:rPr>
        <w:t xml:space="preserve">**Certifications**  |  SOC 2 Type II, GDPR</w:t>
      </w:r>
    </w:p>
    <w:p>
      <w:r>
        <w:rPr>
          <w:sz w:val="20"/>
        </w:rPr>
        <w:t xml:space="preserve">**Processing Scope**  |  User input processing, content generation, model training (per vendor policy)</w:t>
      </w:r>
    </w:p>
    <w:p>
      <w:r>
        <w:rPr>
          <w:sz w:val="20"/>
        </w:rPr>
        <w:t xml:space="preserve">**Overall Risk Level**  |  Critical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Data minimization — only necessary context sent to AI provider</w:t>
      </w:r>
    </w:p>
    <w:p>
      <w:pPr>
        <w:pStyle w:val="ListParagraph"/>
        <w:numPr>
          <w:ilvl w:val="0"/>
          <w:numId w:val="1"/>
        </w:numPr>
      </w:pPr>
      <w:r>
        <w:t xml:space="preserve">Opt-out mechanism for AI processing where applicable</w:t>
      </w:r>
    </w:p>
    <w:p>
      <w:pPr>
        <w:pStyle w:val="ListParagraph"/>
        <w:numPr>
          <w:ilvl w:val="0"/>
          <w:numId w:val="1"/>
        </w:numPr>
      </w:pPr>
      <w:r>
        <w:t xml:space="preserve">Review vendor data retention and training policies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AI-specific data usage addendum</w:t>
      </w:r>
    </w:p>
    <w:p>
      <w:pPr>
        <w:pStyle w:val="ListParagraph"/>
        <w:numPr>
          <w:ilvl w:val="0"/>
          <w:numId w:val="1"/>
        </w:numPr>
      </w:pPr>
      <w:r>
        <w:t xml:space="preserve">[ ] BAA (Business Associate Agreement) — if handling PHI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Heading3"/>
      </w:pPr>
      <w:r>
        <w:t>PostHog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analytics</w:t>
      </w:r>
    </w:p>
    <w:p>
      <w:r>
        <w:rPr>
          <w:sz w:val="20"/>
        </w:rPr>
        <w:t xml:space="preserve">**Data Processed**  |  user behavior, session recordings, feature flag usage, device information</w:t>
      </w:r>
    </w:p>
    <w:p>
      <w:r>
        <w:rPr>
          <w:sz w:val="20"/>
        </w:rPr>
        <w:t xml:space="preserve">**Data Sensitivity**  |  medium</w:t>
      </w:r>
    </w:p>
    <w:p>
      <w:r>
        <w:rPr>
          <w:sz w:val="20"/>
        </w:rPr>
        <w:t xml:space="preserve">**Geographic Location**  |  US</w:t>
      </w:r>
    </w:p>
    <w:p>
      <w:r>
        <w:rPr>
          <w:sz w:val="20"/>
        </w:rPr>
        <w:t xml:space="preserve">**Geographic Risk**  |  Medium — EU-US Data Privacy Framework applicable</w:t>
      </w:r>
    </w:p>
    <w:p>
      <w:r>
        <w:rPr>
          <w:sz w:val="20"/>
        </w:rPr>
        <w:t xml:space="preserve">**Certifications**  |  SOC 2 Type II, GDPR</w:t>
      </w:r>
    </w:p>
    <w:p>
      <w:r>
        <w:rPr>
          <w:sz w:val="20"/>
        </w:rPr>
        <w:t xml:space="preserve">**Processing Scope**  |  User behavior tracking, session data, event logging</w:t>
      </w:r>
    </w:p>
    <w:p>
      <w:r>
        <w:rPr>
          <w:sz w:val="20"/>
        </w:rPr>
        <w:t xml:space="preserve">**Overall Risk Level**  |  High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IP anonymization enabled where supported</w:t>
      </w:r>
    </w:p>
    <w:p>
      <w:pPr>
        <w:pStyle w:val="ListParagraph"/>
        <w:numPr>
          <w:ilvl w:val="0"/>
          <w:numId w:val="1"/>
        </w:numPr>
      </w:pPr>
      <w:r>
        <w:t xml:space="preserve">Cookie consent required before tracking</w:t>
      </w:r>
    </w:p>
    <w:p>
      <w:pPr>
        <w:pStyle w:val="ListParagraph"/>
        <w:numPr>
          <w:ilvl w:val="0"/>
          <w:numId w:val="1"/>
        </w:numPr>
      </w:pPr>
      <w:r>
        <w:t xml:space="preserve">Data retention limits configured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Heading3"/>
      </w:pPr>
      <w:r>
        <w:t>Resend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email</w:t>
      </w:r>
    </w:p>
    <w:p>
      <w:r>
        <w:rPr>
          <w:sz w:val="20"/>
        </w:rPr>
        <w:t xml:space="preserve">**Data Processed**  |  email addresses, email content</w:t>
      </w:r>
    </w:p>
    <w:p>
      <w:r>
        <w:rPr>
          <w:sz w:val="20"/>
        </w:rPr>
        <w:t xml:space="preserve">**Data Sensitivity**  |  medium</w:t>
      </w:r>
    </w:p>
    <w:p>
      <w:r>
        <w:rPr>
          <w:sz w:val="20"/>
        </w:rPr>
        <w:t xml:space="preserve">**Geographic Location**  |  US</w:t>
      </w:r>
    </w:p>
    <w:p>
      <w:r>
        <w:rPr>
          <w:sz w:val="20"/>
        </w:rPr>
        <w:t xml:space="preserve">**Geographic Risk**  |  Medium — EU-US Data Privacy Framework applicable</w:t>
      </w:r>
    </w:p>
    <w:p>
      <w:r>
        <w:rPr>
          <w:sz w:val="20"/>
        </w:rPr>
        <w:t xml:space="preserve">**Certifications**  |  SOC 2 Type II, GDPR</w:t>
      </w:r>
    </w:p>
    <w:p>
      <w:r>
        <w:rPr>
          <w:sz w:val="20"/>
        </w:rPr>
        <w:t xml:space="preserve">**Processing Scope**  |  Email addresses, message content, delivery metadata</w:t>
      </w:r>
    </w:p>
    <w:p>
      <w:r>
        <w:rPr>
          <w:sz w:val="20"/>
        </w:rPr>
        <w:t xml:space="preserve">**Overall Risk Level**  |  High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TLS encryption for email transmission</w:t>
      </w:r>
    </w:p>
    <w:p>
      <w:pPr>
        <w:pStyle w:val="ListParagraph"/>
        <w:numPr>
          <w:ilvl w:val="0"/>
          <w:numId w:val="1"/>
        </w:numPr>
      </w:pPr>
      <w:r>
        <w:t xml:space="preserve">Unsubscribe mechanism in all marketing emails</w:t>
      </w:r>
    </w:p>
    <w:p>
      <w:pPr>
        <w:pStyle w:val="ListParagraph"/>
        <w:numPr>
          <w:ilvl w:val="0"/>
          <w:numId w:val="1"/>
        </w:numPr>
      </w:pPr>
      <w:r>
        <w:t xml:space="preserve">Email content not stored beyond delivery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Heading3"/>
      </w:pPr>
      <w:r>
        <w:t>Stripe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**Data Processed**  |  payment information, billing address, email, transaction history</w:t>
      </w:r>
    </w:p>
    <w:p>
      <w:r>
        <w:rPr>
          <w:sz w:val="20"/>
        </w:rPr>
        <w:t xml:space="preserve">**Data Sensitivity**  |  high</w:t>
      </w:r>
    </w:p>
    <w:p>
      <w:r>
        <w:rPr>
          <w:sz w:val="20"/>
        </w:rPr>
        <w:t xml:space="preserve">**Geographic Location**  |  US</w:t>
      </w:r>
    </w:p>
    <w:p>
      <w:r>
        <w:rPr>
          <w:sz w:val="20"/>
        </w:rPr>
        <w:t xml:space="preserve">**Geographic Risk**  |  Medium — EU-US Data Privacy Framework applicable</w:t>
      </w:r>
    </w:p>
    <w:p>
      <w:r>
        <w:rPr>
          <w:sz w:val="20"/>
        </w:rPr>
        <w:t xml:space="preserve">**Certifications**  |  PCI DSS Level 1, SOC 2 Type II, ISO 27001, GDPR</w:t>
      </w:r>
    </w:p>
    <w:p>
      <w:r>
        <w:rPr>
          <w:sz w:val="20"/>
        </w:rPr>
        <w:t xml:space="preserve">**Processing Scope**  |  Payment card processing, billing records, transaction history</w:t>
      </w:r>
    </w:p>
    <w:p>
      <w:r>
        <w:rPr>
          <w:sz w:val="20"/>
        </w:rPr>
        <w:t xml:space="preserve">**Overall Risk Level**  |  High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PCI DSS compliant processor handles all card data</w:t>
      </w:r>
    </w:p>
    <w:p>
      <w:pPr>
        <w:pStyle w:val="ListParagraph"/>
        <w:numPr>
          <w:ilvl w:val="0"/>
          <w:numId w:val="1"/>
        </w:numPr>
      </w:pPr>
      <w:r>
        <w:t xml:space="preserve">No raw payment data stored in application</w:t>
      </w:r>
    </w:p>
    <w:p>
      <w:pPr>
        <w:pStyle w:val="ListParagraph"/>
        <w:numPr>
          <w:ilvl w:val="0"/>
          <w:numId w:val="1"/>
        </w:numPr>
      </w:pPr>
      <w:r>
        <w:t xml:space="preserve">Tokenization used for recurring payments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PCI DSS Attestation of Compliance</w:t>
      </w:r>
    </w:p>
    <w:p>
      <w:pPr>
        <w:pStyle w:val="ListParagraph"/>
        <w:numPr>
          <w:ilvl w:val="0"/>
          <w:numId w:val="1"/>
        </w:numPr>
      </w:pPr>
      <w:r>
        <w:t xml:space="preserve">[ ] BAA (Business Associate Agreement) — if handling PHI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Heading3"/>
      </w:pPr>
      <w:r>
        <w:t>stripe-ios</w:t>
      </w:r>
    </w:p>
    <w:p>
      <w:r>
        <w:rPr>
          <w:sz w:val="20"/>
        </w:rPr>
        <w:t xml:space="preserve">Attribute  |  Detail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**Data Processed**  |  payment information, billing address, email, transaction history</w:t>
      </w:r>
    </w:p>
    <w:p>
      <w:r>
        <w:rPr>
          <w:sz w:val="20"/>
        </w:rPr>
        <w:t xml:space="preserve">**Data Sensitivity**  |  high</w:t>
      </w:r>
    </w:p>
    <w:p>
      <w:r>
        <w:rPr>
          <w:sz w:val="20"/>
        </w:rPr>
        <w:t xml:space="preserve">**Geographic Location**  |  Other</w:t>
      </w:r>
    </w:p>
    <w:p>
      <w:r>
        <w:rPr>
          <w:sz w:val="20"/>
        </w:rPr>
        <w:t xml:space="preserve">**Geographic Risk**  |  High — verify adequacy decision or implement SCCs</w:t>
      </w:r>
    </w:p>
    <w:p>
      <w:r>
        <w:rPr>
          <w:sz w:val="20"/>
        </w:rPr>
        <w:t xml:space="preserve">**Certifications**  |  None verified</w:t>
      </w:r>
    </w:p>
    <w:p>
      <w:r>
        <w:rPr>
          <w:sz w:val="20"/>
        </w:rPr>
        <w:t xml:space="preserve">**Processing Scope**  |  Payment card processing, billing records, transaction history</w:t>
      </w:r>
    </w:p>
    <w:p>
      <w:r>
        <w:rPr>
          <w:sz w:val="20"/>
        </w:rPr>
        <w:t xml:space="preserve">**Overall Risk Level**  |  Critical</w:t>
      </w:r>
    </w:p>
    <w:p>
      <w:r>
        <w:t xml:space="preserve">Risk Mitigation Measures:</w:t>
      </w:r>
    </w:p>
    <w:p>
      <w:pPr>
        <w:pStyle w:val="ListParagraph"/>
        <w:numPr>
          <w:ilvl w:val="0"/>
          <w:numId w:val="1"/>
        </w:numPr>
      </w:pPr>
      <w:r>
        <w:t xml:space="preserve">PCI DSS compliant processor handles all card data</w:t>
      </w:r>
    </w:p>
    <w:p>
      <w:pPr>
        <w:pStyle w:val="ListParagraph"/>
        <w:numPr>
          <w:ilvl w:val="0"/>
          <w:numId w:val="1"/>
        </w:numPr>
      </w:pPr>
      <w:r>
        <w:t xml:space="preserve">No raw payment data stored in application</w:t>
      </w:r>
    </w:p>
    <w:p>
      <w:pPr>
        <w:pStyle w:val="ListParagraph"/>
        <w:numPr>
          <w:ilvl w:val="0"/>
          <w:numId w:val="1"/>
        </w:numPr>
      </w:pPr>
      <w:r>
        <w:t xml:space="preserve">Tokenization used for recurring payments</w:t>
      </w:r>
    </w:p>
    <w:p>
      <w:r>
        <w:t xml:space="preserve">Required Contracts: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PCI DSS Attestation of Compliance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Vendor Due Diligence Checklist</w:t>
      </w:r>
    </w:p>
    <w:p>
      <w:r>
        <w:t xml:space="preserve">Before onboarding any new third-party vendor, complete the following checklist:</w:t>
      </w:r>
    </w:p>
    <w:p>
      <w:pPr>
        <w:pStyle w:val="ListParagraph"/>
        <w:numPr>
          <w:ilvl w:val="0"/>
          <w:numId w:val="1"/>
        </w:numPr>
      </w:pPr>
      <w:r>
        <w:t xml:space="preserve">[ ] **Security Assessment:** Review vendor's SOC 2 report or equivalent security certification</w:t>
      </w:r>
    </w:p>
    <w:p>
      <w:pPr>
        <w:pStyle w:val="ListParagraph"/>
        <w:numPr>
          <w:ilvl w:val="0"/>
          <w:numId w:val="1"/>
        </w:numPr>
      </w:pPr>
      <w:r>
        <w:t xml:space="preserve">[ ] **Privacy Policy Review:** Verify vendor's privacy policy aligns with your data protection requirements</w:t>
      </w:r>
    </w:p>
    <w:p>
      <w:pPr>
        <w:pStyle w:val="ListParagraph"/>
        <w:numPr>
          <w:ilvl w:val="0"/>
          <w:numId w:val="1"/>
        </w:numPr>
      </w:pPr>
      <w:r>
        <w:t xml:space="preserve">[ ] **Data Processing Agreement:** Execute a DPA that meets GDPR Article 28 requirements</w:t>
      </w:r>
    </w:p>
    <w:p>
      <w:pPr>
        <w:pStyle w:val="ListParagraph"/>
        <w:numPr>
          <w:ilvl w:val="0"/>
          <w:numId w:val="1"/>
        </w:numPr>
      </w:pPr>
      <w:r>
        <w:t xml:space="preserve">[ ] **Sub-processor Disclosure:** Obtain list of vendor's sub-processors and their locations</w:t>
      </w:r>
    </w:p>
    <w:p>
      <w:pPr>
        <w:pStyle w:val="ListParagraph"/>
        <w:numPr>
          <w:ilvl w:val="0"/>
          <w:numId w:val="1"/>
        </w:numPr>
      </w:pPr>
      <w:r>
        <w:t xml:space="preserve">[ ] **Data Residency:** Confirm where data will be stored and processed</w:t>
      </w:r>
    </w:p>
    <w:p>
      <w:pPr>
        <w:pStyle w:val="ListParagraph"/>
        <w:numPr>
          <w:ilvl w:val="0"/>
          <w:numId w:val="1"/>
        </w:numPr>
      </w:pPr>
      <w:r>
        <w:t xml:space="preserve">[ ] **Breach Notification:** Verify vendor commits to timely breach notification (72 hours or less)</w:t>
      </w:r>
    </w:p>
    <w:p>
      <w:pPr>
        <w:pStyle w:val="ListParagraph"/>
        <w:numPr>
          <w:ilvl w:val="0"/>
          <w:numId w:val="1"/>
        </w:numPr>
      </w:pPr>
      <w:r>
        <w:t xml:space="preserve">[ ] **Data Deletion:** Confirm vendor can delete data upon request and at contract termination</w:t>
      </w:r>
    </w:p>
    <w:p>
      <w:pPr>
        <w:pStyle w:val="ListParagraph"/>
        <w:numPr>
          <w:ilvl w:val="0"/>
          <w:numId w:val="1"/>
        </w:numPr>
      </w:pPr>
      <w:r>
        <w:t xml:space="preserve">[ ] **Access Controls:** Review vendor's access control and authentication mechanisms</w:t>
      </w:r>
    </w:p>
    <w:p>
      <w:pPr>
        <w:pStyle w:val="ListParagraph"/>
        <w:numPr>
          <w:ilvl w:val="0"/>
          <w:numId w:val="1"/>
        </w:numPr>
      </w:pPr>
      <w:r>
        <w:t xml:space="preserve">[ ] **Encryption:** Verify encryption in transit (TLS 1.2+) and at rest</w:t>
      </w:r>
    </w:p>
    <w:p>
      <w:pPr>
        <w:pStyle w:val="ListParagraph"/>
        <w:numPr>
          <w:ilvl w:val="0"/>
          <w:numId w:val="1"/>
        </w:numPr>
      </w:pPr>
      <w:r>
        <w:t xml:space="preserve">[ ] **Audit Rights:** Ensure contract includes right to audit or request audit reports</w:t>
      </w:r>
    </w:p>
    <w:p>
      <w:pPr>
        <w:pStyle w:val="ListParagraph"/>
        <w:numPr>
          <w:ilvl w:val="0"/>
          <w:numId w:val="1"/>
        </w:numPr>
      </w:pPr>
      <w:r>
        <w:t xml:space="preserve">[ ] **Insurance:** Verify vendor carries adequate cyber liability insurance</w:t>
      </w:r>
    </w:p>
    <w:p>
      <w:pPr>
        <w:pStyle w:val="ListParagraph"/>
        <w:numPr>
          <w:ilvl w:val="0"/>
          <w:numId w:val="1"/>
        </w:numPr>
      </w:pPr>
      <w:r>
        <w:t xml:space="preserve">[ ] **Incident History:** Research vendor's history of security incidents or data breaches</w:t>
      </w:r>
    </w:p>
    <w:p>
      <w:pPr>
        <w:pStyle w:val="ListParagraph"/>
        <w:numPr>
          <w:ilvl w:val="0"/>
          <w:numId w:val="1"/>
        </w:numPr>
      </w:pPr>
      <w:r>
        <w:t xml:space="preserve">[ ] **Business Continuity:** Review vendor's disaster recovery and business continuity plans</w:t>
      </w:r>
    </w:p>
    <w:p>
      <w:pPr>
        <w:pStyle w:val="ListParagraph"/>
        <w:numPr>
          <w:ilvl w:val="0"/>
          <w:numId w:val="1"/>
        </w:numPr>
      </w:pPr>
      <w:r>
        <w:t xml:space="preserve">[ ] **Regulatory Compliance:** Verify compliance with applicable regulations (GDPR, CCPA, HIPAA, etc.)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Contract Review Requirements</w:t>
      </w:r>
    </w:p>
    <w:p>
      <w:r>
        <w:t xml:space="preserve">The following contractual documents should be in place for the third-party vendors used in this project:</w:t>
      </w:r>
    </w:p>
    <w:p>
      <w:pPr>
        <w:pStyle w:val="Heading3"/>
      </w:pPr>
      <w:r>
        <w:t>Required Agreements</w:t>
      </w:r>
    </w:p>
    <w:p>
      <w:pPr>
        <w:pStyle w:val="ListParagraph"/>
        <w:numPr>
          <w:ilvl w:val="0"/>
          <w:numId w:val="1"/>
        </w:numPr>
      </w:pPr>
      <w:r>
        <w:t xml:space="preserve">[ ] DPA (Data Processing Agreement)</w:t>
      </w:r>
    </w:p>
    <w:p>
      <w:pPr>
        <w:pStyle w:val="ListParagraph"/>
        <w:numPr>
          <w:ilvl w:val="0"/>
          <w:numId w:val="1"/>
        </w:numPr>
      </w:pPr>
      <w:r>
        <w:t xml:space="preserve">[ ] Standard Contractual Clauses (SCCs) — for cross-border transfers</w:t>
      </w:r>
    </w:p>
    <w:p>
      <w:pPr>
        <w:pStyle w:val="ListParagraph"/>
        <w:numPr>
          <w:ilvl w:val="0"/>
          <w:numId w:val="1"/>
        </w:numPr>
      </w:pPr>
      <w:r>
        <w:t xml:space="preserve">[ ] AI-specific data usage addendum</w:t>
      </w:r>
    </w:p>
    <w:p>
      <w:pPr>
        <w:pStyle w:val="ListParagraph"/>
        <w:numPr>
          <w:ilvl w:val="0"/>
          <w:numId w:val="1"/>
        </w:numPr>
      </w:pPr>
      <w:r>
        <w:t xml:space="preserve">[ ] BAA (Business Associate Agreement) — if handling PHI</w:t>
      </w:r>
    </w:p>
    <w:p>
      <w:pPr>
        <w:pStyle w:val="ListParagraph"/>
        <w:numPr>
          <w:ilvl w:val="0"/>
          <w:numId w:val="1"/>
        </w:numPr>
      </w:pPr>
      <w:r>
        <w:t xml:space="preserve">[ ] PCI DSS Attestation of Compliance</w:t>
      </w:r>
    </w:p>
    <w:p>
      <w:pPr>
        <w:pStyle w:val="Heading3"/>
      </w:pPr>
      <w:r>
        <w:t>DPA Minimum Requirements</w:t>
      </w:r>
    </w:p>
    <w:p>
      <w:r>
        <w:t xml:space="preserve">Every Data Processing Agreement must include:</w:t>
      </w:r>
    </w:p>
    <w:p>
      <w:pPr>
        <w:pStyle w:val="ListParagraph"/>
        <w:numPr>
          <w:ilvl w:val="0"/>
          <w:numId w:val="2"/>
        </w:numPr>
      </w:pPr>
      <w:r>
        <w:t xml:space="preserve">**Subject matter and duration** of data processing</w:t>
      </w:r>
    </w:p>
    <w:p>
      <w:pPr>
        <w:pStyle w:val="ListParagraph"/>
        <w:numPr>
          <w:ilvl w:val="0"/>
          <w:numId w:val="2"/>
        </w:numPr>
      </w:pPr>
      <w:r>
        <w:t xml:space="preserve">**Nature and purpose** of the processing</w:t>
      </w:r>
    </w:p>
    <w:p>
      <w:pPr>
        <w:pStyle w:val="ListParagraph"/>
        <w:numPr>
          <w:ilvl w:val="0"/>
          <w:numId w:val="2"/>
        </w:numPr>
      </w:pPr>
      <w:r>
        <w:t xml:space="preserve">**Types of personal data** processed</w:t>
      </w:r>
    </w:p>
    <w:p>
      <w:pPr>
        <w:pStyle w:val="ListParagraph"/>
        <w:numPr>
          <w:ilvl w:val="0"/>
          <w:numId w:val="2"/>
        </w:numPr>
      </w:pPr>
      <w:r>
        <w:t xml:space="preserve">**Categories of data subjects** affected</w:t>
      </w:r>
    </w:p>
    <w:p>
      <w:pPr>
        <w:pStyle w:val="ListParagraph"/>
        <w:numPr>
          <w:ilvl w:val="0"/>
          <w:numId w:val="2"/>
        </w:numPr>
      </w:pPr>
      <w:r>
        <w:t xml:space="preserve">**Obligations and rights** of the data controller</w:t>
      </w:r>
    </w:p>
    <w:p>
      <w:pPr>
        <w:pStyle w:val="ListParagraph"/>
        <w:numPr>
          <w:ilvl w:val="0"/>
          <w:numId w:val="2"/>
        </w:numPr>
      </w:pPr>
      <w:r>
        <w:t xml:space="preserve">**Technical and organizational security measures**</w:t>
      </w:r>
    </w:p>
    <w:p>
      <w:pPr>
        <w:pStyle w:val="ListParagraph"/>
        <w:numPr>
          <w:ilvl w:val="0"/>
          <w:numId w:val="2"/>
        </w:numPr>
      </w:pPr>
      <w:r>
        <w:t xml:space="preserve">**Sub-processor engagement** conditions and notification obligations</w:t>
      </w:r>
    </w:p>
    <w:p>
      <w:pPr>
        <w:pStyle w:val="ListParagraph"/>
        <w:numPr>
          <w:ilvl w:val="0"/>
          <w:numId w:val="2"/>
        </w:numPr>
      </w:pPr>
      <w:r>
        <w:t xml:space="preserve">**Data breach notification** procedures and timelines</w:t>
      </w:r>
    </w:p>
    <w:p>
      <w:pPr>
        <w:pStyle w:val="ListParagraph"/>
        <w:numPr>
          <w:ilvl w:val="0"/>
          <w:numId w:val="2"/>
        </w:numPr>
      </w:pPr>
      <w:r>
        <w:t xml:space="preserve">**Data return and deletion** upon contract termination</w:t>
      </w:r>
    </w:p>
    <w:p>
      <w:pPr>
        <w:pStyle w:val="ListParagraph"/>
        <w:numPr>
          <w:ilvl w:val="0"/>
          <w:numId w:val="2"/>
        </w:numPr>
      </w:pPr>
      <w:r>
        <w:t xml:space="preserve">**Audit rights** for the data controller</w:t>
      </w:r>
    </w:p>
    <w:p>
      <w:pPr>
        <w:pStyle w:val="Heading3"/>
      </w:pPr>
      <w:r>
        <w:t>Additional Agreements by Scenario</w:t>
      </w:r>
    </w:p>
    <w:p>
      <w:r>
        <w:rPr>
          <w:sz w:val="20"/>
        </w:rPr>
        <w:t xml:space="preserve">Scenario  |  Required Agreement</w:t>
      </w:r>
    </w:p>
    <w:p>
      <w:r>
        <w:rPr>
          <w:sz w:val="20"/>
        </w:rPr>
        <w:t xml:space="preserve">Processing health data (PHI)  |  BAA (Business Associate Agreement)</w:t>
      </w:r>
    </w:p>
    <w:p>
      <w:r>
        <w:rPr>
          <w:sz w:val="20"/>
        </w:rPr>
        <w:t xml:space="preserve">Cross-border data transfers (EU to non-EU)  |  Standard Contractual Clauses (SCCs)</w:t>
      </w:r>
    </w:p>
    <w:p>
      <w:r>
        <w:rPr>
          <w:sz w:val="20"/>
        </w:rPr>
        <w:t xml:space="preserve">Payment card processing  |  PCI DSS Attestation of Compliance</w:t>
      </w:r>
    </w:p>
    <w:p>
      <w:r>
        <w:rPr>
          <w:sz w:val="20"/>
        </w:rPr>
        <w:t xml:space="preserve">Processing children's data  |  COPPA-compliant agreement</w:t>
      </w:r>
    </w:p>
    <w:p>
      <w:r>
        <w:rPr>
          <w:sz w:val="20"/>
        </w:rPr>
        <w:t xml:space="preserve">AI/ML data processing  |  AI data usage and training opt-out addendum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Review Schedule</w:t>
      </w:r>
    </w:p>
    <w:p>
      <w:r>
        <w:t xml:space="preserve">This risk assessment should be reviewed:</w:t>
      </w:r>
    </w:p>
    <w:p>
      <w:pPr>
        <w:pStyle w:val="ListParagraph"/>
        <w:numPr>
          <w:ilvl w:val="0"/>
          <w:numId w:val="1"/>
        </w:numPr>
      </w:pPr>
      <w:r>
        <w:t xml:space="preserve">**Annually** as part of the regular compliance review cycle</w:t>
      </w:r>
    </w:p>
    <w:p>
      <w:pPr>
        <w:pStyle w:val="ListParagraph"/>
        <w:numPr>
          <w:ilvl w:val="0"/>
          <w:numId w:val="1"/>
        </w:numPr>
      </w:pPr>
      <w:r>
        <w:t xml:space="preserve">**When adding** a new third-party vendor</w:t>
      </w:r>
    </w:p>
    <w:p>
      <w:pPr>
        <w:pStyle w:val="ListParagraph"/>
        <w:numPr>
          <w:ilvl w:val="0"/>
          <w:numId w:val="1"/>
        </w:numPr>
      </w:pPr>
      <w:r>
        <w:t xml:space="preserve">**When a vendor** changes its data processing practices or certifications</w:t>
      </w:r>
    </w:p>
    <w:p>
      <w:pPr>
        <w:pStyle w:val="ListParagraph"/>
        <w:numPr>
          <w:ilvl w:val="0"/>
          <w:numId w:val="1"/>
        </w:numPr>
      </w:pPr>
      <w:r>
        <w:t xml:space="preserve">**After a security incident** involving any listed vendor</w:t>
      </w:r>
    </w:p>
    <w:p>
      <w:pPr>
        <w:pBdr>
          <w:bottom w:val="single" w:sz="6" w:space="1" w:color="999999"/>
        </w:pBdr>
      </w:pPr>
    </w:p>
    <w:p>
      <w:r>
        <w:t xml:space="preserve">This Third-Party Risk Assessment was generated by [Codepliant](https://github.com/joechensmartz/codepliant) based on automated code analysis. Review and verify all entries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